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FB0" w:rsidRPr="00CE3FC9" w:rsidRDefault="00735FB0" w:rsidP="00735FB0">
      <w:pPr>
        <w:spacing w:after="0" w:line="240" w:lineRule="auto"/>
        <w:jc w:val="center"/>
        <w:rPr>
          <w:b/>
          <w:sz w:val="24"/>
          <w:szCs w:val="24"/>
        </w:rPr>
      </w:pPr>
      <w:r w:rsidRPr="00CE3FC9">
        <w:rPr>
          <w:b/>
          <w:sz w:val="24"/>
          <w:szCs w:val="24"/>
        </w:rPr>
        <w:t>FACE Policy Requests on Large Carnivores</w:t>
      </w:r>
    </w:p>
    <w:p w:rsidR="00735FB0" w:rsidRPr="00CE3FC9" w:rsidRDefault="00735FB0" w:rsidP="00735FB0">
      <w:pPr>
        <w:spacing w:after="0" w:line="240" w:lineRule="auto"/>
        <w:rPr>
          <w:b/>
          <w:sz w:val="20"/>
          <w:szCs w:val="20"/>
        </w:rPr>
      </w:pPr>
    </w:p>
    <w:p w:rsidR="00735FB0" w:rsidRPr="00CE3FC9" w:rsidRDefault="00735FB0" w:rsidP="00735FB0">
      <w:pPr>
        <w:spacing w:after="0" w:line="240" w:lineRule="auto"/>
        <w:jc w:val="both"/>
        <w:rPr>
          <w:color w:val="FF0000"/>
          <w:sz w:val="20"/>
          <w:szCs w:val="20"/>
        </w:rPr>
      </w:pPr>
      <w:r w:rsidRPr="00CE3FC9">
        <w:rPr>
          <w:sz w:val="20"/>
          <w:szCs w:val="20"/>
        </w:rPr>
        <w:t>Large carnivores occur in a</w:t>
      </w:r>
      <w:r w:rsidR="00AD1117">
        <w:rPr>
          <w:sz w:val="20"/>
          <w:szCs w:val="20"/>
        </w:rPr>
        <w:t xml:space="preserve"> great diversity of ecological</w:t>
      </w:r>
      <w:r w:rsidRPr="00CE3FC9">
        <w:rPr>
          <w:sz w:val="20"/>
          <w:szCs w:val="20"/>
        </w:rPr>
        <w:t>, socio-</w:t>
      </w:r>
      <w:r>
        <w:rPr>
          <w:sz w:val="20"/>
          <w:szCs w:val="20"/>
        </w:rPr>
        <w:t>economic, cultural</w:t>
      </w:r>
      <w:r w:rsidRPr="00CE3FC9">
        <w:rPr>
          <w:sz w:val="20"/>
          <w:szCs w:val="20"/>
        </w:rPr>
        <w:t xml:space="preserve"> </w:t>
      </w:r>
      <w:r w:rsidRPr="00CE3FC9">
        <w:rPr>
          <w:sz w:val="20"/>
          <w:szCs w:val="20"/>
        </w:rPr>
        <w:t xml:space="preserve">and political situations in Europe. This can help to explain the different attitudes towards large carnivores, which sometimes divide society. </w:t>
      </w:r>
    </w:p>
    <w:p w:rsidR="00735FB0" w:rsidRPr="00CE3FC9" w:rsidRDefault="00735FB0" w:rsidP="00735FB0">
      <w:pPr>
        <w:spacing w:after="0" w:line="240" w:lineRule="auto"/>
        <w:jc w:val="both"/>
        <w:rPr>
          <w:sz w:val="20"/>
          <w:szCs w:val="20"/>
        </w:rPr>
      </w:pPr>
    </w:p>
    <w:p w:rsidR="00735FB0" w:rsidRPr="00CE3FC9" w:rsidRDefault="00735FB0" w:rsidP="00735FB0">
      <w:pPr>
        <w:spacing w:after="0" w:line="240" w:lineRule="auto"/>
        <w:jc w:val="both"/>
        <w:rPr>
          <w:b/>
          <w:sz w:val="20"/>
          <w:szCs w:val="20"/>
        </w:rPr>
      </w:pPr>
      <w:r w:rsidRPr="00CE3FC9">
        <w:rPr>
          <w:b/>
          <w:sz w:val="20"/>
          <w:szCs w:val="20"/>
        </w:rPr>
        <w:t>Improving coexistence:</w:t>
      </w:r>
    </w:p>
    <w:p w:rsidR="00735FB0" w:rsidRPr="00CE3FC9" w:rsidRDefault="00735FB0" w:rsidP="00735FB0">
      <w:pPr>
        <w:spacing w:after="0" w:line="240" w:lineRule="auto"/>
        <w:jc w:val="both"/>
        <w:rPr>
          <w:sz w:val="20"/>
          <w:szCs w:val="20"/>
        </w:rPr>
      </w:pPr>
      <w:r w:rsidRPr="00CE3FC9">
        <w:rPr>
          <w:sz w:val="20"/>
          <w:szCs w:val="20"/>
        </w:rPr>
        <w:t xml:space="preserve">The Habitats Directive </w:t>
      </w:r>
      <w:r>
        <w:rPr>
          <w:sz w:val="20"/>
          <w:szCs w:val="20"/>
        </w:rPr>
        <w:t xml:space="preserve">should </w:t>
      </w:r>
      <w:r w:rsidRPr="00CE3FC9">
        <w:rPr>
          <w:sz w:val="20"/>
          <w:szCs w:val="20"/>
        </w:rPr>
        <w:t xml:space="preserve">offer sufficient scope for the conservation and management of large carnivores and their habitats. However, FACE is of the view that certain </w:t>
      </w:r>
      <w:r>
        <w:rPr>
          <w:sz w:val="20"/>
          <w:szCs w:val="20"/>
        </w:rPr>
        <w:t>provisions</w:t>
      </w:r>
      <w:r w:rsidRPr="00CE3FC9">
        <w:rPr>
          <w:sz w:val="20"/>
          <w:szCs w:val="20"/>
        </w:rPr>
        <w:t xml:space="preserve"> </w:t>
      </w:r>
      <w:r w:rsidRPr="00CE3FC9">
        <w:rPr>
          <w:sz w:val="20"/>
          <w:szCs w:val="20"/>
        </w:rPr>
        <w:t>of the Habitats Directive have been implemented in a disproportionately restrictive manner or not used to their full potential (notably Article 2/3, Article 16 and Article 19). In this context, FACE:</w:t>
      </w:r>
    </w:p>
    <w:p w:rsidR="00735FB0" w:rsidRPr="00CE3FC9" w:rsidRDefault="00735FB0" w:rsidP="00735FB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CE3FC9">
        <w:rPr>
          <w:sz w:val="20"/>
          <w:szCs w:val="20"/>
        </w:rPr>
        <w:t>Calls for greater recognition of “</w:t>
      </w:r>
      <w:r w:rsidRPr="00CE3FC9">
        <w:rPr>
          <w:i/>
          <w:sz w:val="20"/>
          <w:szCs w:val="20"/>
        </w:rPr>
        <w:t>economic, social and cultural requirements and regional and local characteristics</w:t>
      </w:r>
      <w:r w:rsidRPr="00CE3FC9">
        <w:rPr>
          <w:sz w:val="20"/>
          <w:szCs w:val="20"/>
        </w:rPr>
        <w:t>” as outlined in Article</w:t>
      </w:r>
      <w:r>
        <w:rPr>
          <w:sz w:val="20"/>
          <w:szCs w:val="20"/>
        </w:rPr>
        <w:t xml:space="preserve"> 2.3 of the Habitats Directive; </w:t>
      </w:r>
    </w:p>
    <w:p w:rsidR="00735FB0" w:rsidRPr="00CE3FC9" w:rsidRDefault="00735FB0" w:rsidP="00735FB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CE3FC9">
        <w:rPr>
          <w:sz w:val="20"/>
          <w:szCs w:val="20"/>
        </w:rPr>
        <w:t>Calls for greater recognition of the existing flexibility</w:t>
      </w:r>
      <w:r w:rsidRPr="00CE3FC9">
        <w:rPr>
          <w:rStyle w:val="FootnoteReference"/>
          <w:sz w:val="20"/>
          <w:szCs w:val="20"/>
        </w:rPr>
        <w:footnoteReference w:id="1"/>
      </w:r>
      <w:r w:rsidRPr="00CE3FC9">
        <w:rPr>
          <w:sz w:val="20"/>
          <w:szCs w:val="20"/>
        </w:rPr>
        <w:t xml:space="preserve"> of implementation approaches that consider specific </w:t>
      </w:r>
      <w:r>
        <w:rPr>
          <w:sz w:val="20"/>
          <w:szCs w:val="20"/>
        </w:rPr>
        <w:t xml:space="preserve">local, regional and </w:t>
      </w:r>
      <w:r w:rsidRPr="00CE3FC9">
        <w:rPr>
          <w:sz w:val="20"/>
          <w:szCs w:val="20"/>
        </w:rPr>
        <w:t xml:space="preserve">national circumstances to reduce </w:t>
      </w:r>
      <w:r>
        <w:rPr>
          <w:sz w:val="20"/>
          <w:szCs w:val="20"/>
        </w:rPr>
        <w:t>unavoidable</w:t>
      </w:r>
      <w:r w:rsidRPr="00CE3FC9">
        <w:rPr>
          <w:sz w:val="20"/>
          <w:szCs w:val="20"/>
        </w:rPr>
        <w:t xml:space="preserve"> </w:t>
      </w:r>
      <w:r w:rsidRPr="00CE3FC9">
        <w:rPr>
          <w:sz w:val="20"/>
          <w:szCs w:val="20"/>
        </w:rPr>
        <w:t>problems/conflicts between people and large carnivores.</w:t>
      </w:r>
    </w:p>
    <w:p w:rsidR="00735FB0" w:rsidRPr="00CE3FC9" w:rsidRDefault="00735FB0" w:rsidP="00735FB0">
      <w:pPr>
        <w:spacing w:after="0" w:line="240" w:lineRule="auto"/>
        <w:jc w:val="both"/>
        <w:rPr>
          <w:b/>
          <w:sz w:val="20"/>
          <w:szCs w:val="20"/>
        </w:rPr>
      </w:pPr>
    </w:p>
    <w:p w:rsidR="00735FB0" w:rsidRPr="00CE3FC9" w:rsidRDefault="00735FB0" w:rsidP="00735FB0">
      <w:pPr>
        <w:spacing w:after="0" w:line="240" w:lineRule="auto"/>
        <w:jc w:val="both"/>
        <w:rPr>
          <w:sz w:val="20"/>
          <w:szCs w:val="20"/>
        </w:rPr>
      </w:pPr>
      <w:r w:rsidRPr="00CE3FC9">
        <w:rPr>
          <w:b/>
          <w:sz w:val="20"/>
          <w:szCs w:val="20"/>
        </w:rPr>
        <w:t>Updating the annexes:</w:t>
      </w:r>
    </w:p>
    <w:p w:rsidR="00735FB0" w:rsidRPr="00CE3FC9" w:rsidRDefault="00735FB0" w:rsidP="00735FB0">
      <w:pPr>
        <w:spacing w:after="0" w:line="240" w:lineRule="auto"/>
        <w:jc w:val="both"/>
        <w:rPr>
          <w:sz w:val="20"/>
          <w:szCs w:val="20"/>
        </w:rPr>
      </w:pPr>
      <w:r w:rsidRPr="00CE3FC9">
        <w:rPr>
          <w:sz w:val="20"/>
          <w:szCs w:val="20"/>
        </w:rPr>
        <w:t>Certain populations of large carnivore species in the EU, like the Wolf and Brown Bear</w:t>
      </w:r>
      <w:r>
        <w:rPr>
          <w:sz w:val="20"/>
          <w:szCs w:val="20"/>
        </w:rPr>
        <w:t xml:space="preserve"> in several Member States</w:t>
      </w:r>
      <w:r w:rsidRPr="00CE3FC9">
        <w:rPr>
          <w:sz w:val="20"/>
          <w:szCs w:val="20"/>
        </w:rPr>
        <w:t>, no longer qualify for strict protection under Annex IV of the Habitats Directive - due to successful conservation measures. Further, as many large carnivore populations are increasing</w:t>
      </w:r>
      <w:r>
        <w:rPr>
          <w:sz w:val="20"/>
          <w:szCs w:val="20"/>
        </w:rPr>
        <w:t xml:space="preserve"> and expanding</w:t>
      </w:r>
      <w:r w:rsidRPr="00CE3FC9">
        <w:rPr>
          <w:sz w:val="20"/>
          <w:szCs w:val="20"/>
        </w:rPr>
        <w:t xml:space="preserve"> in Europe, it is important that conservation priorities are set according to the most up-to-date and comprehensive scientific knowledge. Article 19 of the Habitats Directive provides for a legal obligation to update the annexes to reflect best available science. </w:t>
      </w:r>
      <w:proofErr w:type="gramStart"/>
      <w:r w:rsidRPr="00CE3FC9">
        <w:rPr>
          <w:sz w:val="20"/>
          <w:szCs w:val="20"/>
        </w:rPr>
        <w:t>In light of</w:t>
      </w:r>
      <w:proofErr w:type="gramEnd"/>
      <w:r w:rsidRPr="00CE3FC9">
        <w:rPr>
          <w:sz w:val="20"/>
          <w:szCs w:val="20"/>
        </w:rPr>
        <w:t xml:space="preserve"> the case-law from the EU Court of Justice, Article 19 is applicable and has legal effect. The European Parliament’s Environment Committee as well as </w:t>
      </w:r>
      <w:proofErr w:type="gramStart"/>
      <w:r w:rsidRPr="00CE3FC9">
        <w:rPr>
          <w:sz w:val="20"/>
          <w:szCs w:val="20"/>
        </w:rPr>
        <w:t>a majority of</w:t>
      </w:r>
      <w:proofErr w:type="gramEnd"/>
      <w:r w:rsidRPr="00CE3FC9">
        <w:rPr>
          <w:sz w:val="20"/>
          <w:szCs w:val="20"/>
        </w:rPr>
        <w:t xml:space="preserve"> the Member States have called upon the Commission to update the annexes. In this context, FACE: </w:t>
      </w:r>
    </w:p>
    <w:p w:rsidR="00735FB0" w:rsidRPr="00CE3FC9" w:rsidRDefault="00735FB0" w:rsidP="00735FB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CE3FC9">
        <w:rPr>
          <w:iCs/>
          <w:sz w:val="20"/>
          <w:szCs w:val="20"/>
        </w:rPr>
        <w:t>Calls</w:t>
      </w:r>
      <w:r w:rsidRPr="00CE3FC9">
        <w:rPr>
          <w:i/>
          <w:iCs/>
          <w:sz w:val="20"/>
          <w:szCs w:val="20"/>
        </w:rPr>
        <w:t xml:space="preserve"> </w:t>
      </w:r>
      <w:r w:rsidRPr="00CE3FC9">
        <w:rPr>
          <w:sz w:val="20"/>
          <w:szCs w:val="20"/>
        </w:rPr>
        <w:t>on the European Commission to promote the correct application of Article 19 of the Habitats Directive which provides that the annexes shall be updated in accordance with technical and scientific progress</w:t>
      </w:r>
      <w:r w:rsidRPr="00CE3FC9">
        <w:rPr>
          <w:rStyle w:val="FootnoteReference"/>
          <w:sz w:val="20"/>
          <w:szCs w:val="20"/>
        </w:rPr>
        <w:footnoteReference w:id="2"/>
      </w:r>
      <w:r w:rsidRPr="00CE3FC9">
        <w:rPr>
          <w:sz w:val="20"/>
          <w:szCs w:val="20"/>
        </w:rPr>
        <w:t>.</w:t>
      </w:r>
    </w:p>
    <w:p w:rsidR="00735FB0" w:rsidRPr="00CE3FC9" w:rsidRDefault="00735FB0" w:rsidP="00735FB0">
      <w:pPr>
        <w:spacing w:after="0" w:line="240" w:lineRule="auto"/>
        <w:jc w:val="both"/>
        <w:rPr>
          <w:sz w:val="20"/>
          <w:szCs w:val="20"/>
        </w:rPr>
      </w:pPr>
    </w:p>
    <w:p w:rsidR="00735FB0" w:rsidRPr="00CE3FC9" w:rsidRDefault="00735FB0" w:rsidP="00735FB0">
      <w:pPr>
        <w:spacing w:after="0" w:line="240" w:lineRule="auto"/>
        <w:jc w:val="both"/>
        <w:rPr>
          <w:b/>
          <w:sz w:val="20"/>
          <w:szCs w:val="20"/>
        </w:rPr>
      </w:pPr>
      <w:r w:rsidRPr="00CE3FC9">
        <w:rPr>
          <w:b/>
          <w:sz w:val="20"/>
          <w:szCs w:val="20"/>
        </w:rPr>
        <w:t>Management planning for large carnivores:</w:t>
      </w:r>
    </w:p>
    <w:p w:rsidR="00735FB0" w:rsidRPr="00CE3FC9" w:rsidRDefault="00735FB0" w:rsidP="00735FB0">
      <w:pPr>
        <w:spacing w:after="0" w:line="240" w:lineRule="auto"/>
        <w:jc w:val="both"/>
        <w:rPr>
          <w:sz w:val="20"/>
          <w:szCs w:val="20"/>
        </w:rPr>
      </w:pPr>
      <w:r w:rsidRPr="00CE3FC9">
        <w:rPr>
          <w:sz w:val="20"/>
          <w:szCs w:val="20"/>
        </w:rPr>
        <w:t xml:space="preserve">Large carnivore populations are often transboundary in nature with very large home ranges. Administrative units are frequently unable to contain a viable population of any large carnivore species on their own. Therefore, planning for large carnivores should occur in a coordinated and cooperative manner. In this context, FACE: </w:t>
      </w:r>
    </w:p>
    <w:p w:rsidR="00735FB0" w:rsidRPr="00CE3FC9" w:rsidRDefault="00735FB0" w:rsidP="00735FB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CE3FC9">
        <w:rPr>
          <w:sz w:val="20"/>
          <w:szCs w:val="20"/>
        </w:rPr>
        <w:t xml:space="preserve">Calls on the European Commission to promote and propose means for the funding and development of </w:t>
      </w:r>
      <w:r>
        <w:rPr>
          <w:sz w:val="20"/>
          <w:szCs w:val="20"/>
        </w:rPr>
        <w:t xml:space="preserve">coordinated </w:t>
      </w:r>
      <w:r w:rsidRPr="00593307">
        <w:rPr>
          <w:sz w:val="20"/>
          <w:szCs w:val="20"/>
        </w:rPr>
        <w:t>transboundary</w:t>
      </w:r>
      <w:r w:rsidRPr="00CE3FC9">
        <w:rPr>
          <w:sz w:val="20"/>
          <w:szCs w:val="20"/>
        </w:rPr>
        <w:t xml:space="preserve"> management for large carnivore species</w:t>
      </w:r>
      <w:r w:rsidRPr="00CE3FC9">
        <w:rPr>
          <w:rStyle w:val="FootnoteReference"/>
          <w:sz w:val="20"/>
          <w:szCs w:val="20"/>
        </w:rPr>
        <w:footnoteReference w:id="3"/>
      </w:r>
      <w:r w:rsidRPr="00CE3FC9">
        <w:rPr>
          <w:sz w:val="20"/>
          <w:szCs w:val="20"/>
        </w:rPr>
        <w:t>.</w:t>
      </w:r>
    </w:p>
    <w:p w:rsidR="00735FB0" w:rsidRPr="00CE3FC9" w:rsidRDefault="00735FB0" w:rsidP="00735FB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CE3FC9">
        <w:rPr>
          <w:sz w:val="20"/>
          <w:szCs w:val="20"/>
        </w:rPr>
        <w:t>Calls on Member States to develop adaptive management plans</w:t>
      </w:r>
      <w:r w:rsidRPr="00593307"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>which</w:t>
      </w:r>
      <w:r w:rsidRPr="00CE3FC9">
        <w:rPr>
          <w:sz w:val="20"/>
          <w:szCs w:val="20"/>
        </w:rPr>
        <w:t xml:space="preserve"> effectively mitigate human</w:t>
      </w:r>
      <w:r>
        <w:rPr>
          <w:sz w:val="20"/>
          <w:szCs w:val="20"/>
        </w:rPr>
        <w:t>-</w:t>
      </w:r>
      <w:r w:rsidRPr="00CE3FC9">
        <w:rPr>
          <w:sz w:val="20"/>
          <w:szCs w:val="20"/>
        </w:rPr>
        <w:t>large</w:t>
      </w:r>
      <w:r>
        <w:rPr>
          <w:sz w:val="20"/>
          <w:szCs w:val="20"/>
        </w:rPr>
        <w:t xml:space="preserve"> carnivore</w:t>
      </w:r>
      <w:r w:rsidRPr="00CE3FC9">
        <w:rPr>
          <w:sz w:val="20"/>
          <w:szCs w:val="20"/>
        </w:rPr>
        <w:t xml:space="preserve"> conflicts (e.g. in areas with </w:t>
      </w:r>
      <w:r>
        <w:rPr>
          <w:sz w:val="20"/>
          <w:szCs w:val="20"/>
        </w:rPr>
        <w:t xml:space="preserve">significant </w:t>
      </w:r>
      <w:r w:rsidRPr="00CE3FC9">
        <w:rPr>
          <w:sz w:val="20"/>
          <w:szCs w:val="20"/>
        </w:rPr>
        <w:t>livestock depredation problems).</w:t>
      </w:r>
    </w:p>
    <w:p w:rsidR="00735FB0" w:rsidRDefault="00735FB0" w:rsidP="00735FB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CE3FC9">
        <w:rPr>
          <w:sz w:val="20"/>
          <w:szCs w:val="20"/>
        </w:rPr>
        <w:t>Calls on Member States to focus on ‘populations’ and not ‘individuals’</w:t>
      </w:r>
      <w:r>
        <w:rPr>
          <w:sz w:val="20"/>
          <w:szCs w:val="20"/>
        </w:rPr>
        <w:t xml:space="preserve"> in line with the Habitats Directive.</w:t>
      </w:r>
      <w:r w:rsidRPr="00CE3FC9">
        <w:rPr>
          <w:sz w:val="20"/>
          <w:szCs w:val="20"/>
        </w:rPr>
        <w:t xml:space="preserve"> </w:t>
      </w:r>
    </w:p>
    <w:p w:rsidR="00735FB0" w:rsidRPr="00CE3FC9" w:rsidRDefault="00735FB0" w:rsidP="00735FB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Calls on Member States </w:t>
      </w:r>
      <w:r w:rsidRPr="00CE3FC9">
        <w:rPr>
          <w:sz w:val="20"/>
          <w:szCs w:val="20"/>
        </w:rPr>
        <w:t xml:space="preserve">to consider </w:t>
      </w:r>
      <w:r w:rsidR="00AD1117">
        <w:rPr>
          <w:sz w:val="20"/>
          <w:szCs w:val="20"/>
        </w:rPr>
        <w:t>well-</w:t>
      </w:r>
      <w:r>
        <w:rPr>
          <w:sz w:val="20"/>
          <w:szCs w:val="20"/>
        </w:rPr>
        <w:t xml:space="preserve">regulated </w:t>
      </w:r>
      <w:r w:rsidRPr="00CE3FC9">
        <w:rPr>
          <w:sz w:val="20"/>
          <w:szCs w:val="20"/>
        </w:rPr>
        <w:t>harvest as a preventive measure to reduce conflicts</w:t>
      </w:r>
      <w:r>
        <w:rPr>
          <w:sz w:val="20"/>
          <w:szCs w:val="20"/>
        </w:rPr>
        <w:t>.</w:t>
      </w:r>
    </w:p>
    <w:p w:rsidR="00735FB0" w:rsidRPr="00CE3FC9" w:rsidRDefault="00735FB0" w:rsidP="00735FB0">
      <w:pPr>
        <w:spacing w:after="0" w:line="240" w:lineRule="auto"/>
        <w:jc w:val="both"/>
        <w:rPr>
          <w:b/>
          <w:sz w:val="20"/>
          <w:szCs w:val="20"/>
        </w:rPr>
      </w:pPr>
    </w:p>
    <w:p w:rsidR="00735FB0" w:rsidRPr="00CE3FC9" w:rsidRDefault="00735FB0" w:rsidP="00735FB0">
      <w:pPr>
        <w:spacing w:after="0" w:line="240" w:lineRule="auto"/>
        <w:jc w:val="both"/>
        <w:rPr>
          <w:b/>
          <w:sz w:val="20"/>
          <w:szCs w:val="20"/>
        </w:rPr>
      </w:pPr>
      <w:r w:rsidRPr="00CE3FC9">
        <w:rPr>
          <w:b/>
          <w:sz w:val="20"/>
          <w:szCs w:val="20"/>
        </w:rPr>
        <w:t>Improved stakeholder involvement:</w:t>
      </w:r>
    </w:p>
    <w:p w:rsidR="00735FB0" w:rsidRPr="00CE3FC9" w:rsidRDefault="00735FB0" w:rsidP="00735FB0">
      <w:pPr>
        <w:spacing w:after="0" w:line="240" w:lineRule="auto"/>
        <w:jc w:val="both"/>
        <w:rPr>
          <w:sz w:val="20"/>
          <w:szCs w:val="20"/>
        </w:rPr>
      </w:pPr>
      <w:r w:rsidRPr="00CE3FC9">
        <w:rPr>
          <w:sz w:val="20"/>
          <w:szCs w:val="20"/>
        </w:rPr>
        <w:t xml:space="preserve">The </w:t>
      </w:r>
      <w:r>
        <w:rPr>
          <w:sz w:val="20"/>
          <w:szCs w:val="20"/>
        </w:rPr>
        <w:t>EU Action P</w:t>
      </w:r>
      <w:r w:rsidRPr="00CE3FC9">
        <w:rPr>
          <w:sz w:val="20"/>
          <w:szCs w:val="20"/>
        </w:rPr>
        <w:t xml:space="preserve">lan for nature, people and the economy recognises the need to </w:t>
      </w:r>
      <w:r>
        <w:rPr>
          <w:sz w:val="20"/>
          <w:szCs w:val="20"/>
        </w:rPr>
        <w:t xml:space="preserve">improve stakeholder consultation to </w:t>
      </w:r>
      <w:r w:rsidRPr="00CE3FC9">
        <w:rPr>
          <w:sz w:val="20"/>
          <w:szCs w:val="20"/>
        </w:rPr>
        <w:t>address the continuous challenge</w:t>
      </w:r>
      <w:r>
        <w:rPr>
          <w:sz w:val="20"/>
          <w:szCs w:val="20"/>
        </w:rPr>
        <w:t xml:space="preserve"> posed by large carnivore</w:t>
      </w:r>
      <w:r w:rsidRPr="00CE3FC9">
        <w:rPr>
          <w:sz w:val="20"/>
          <w:szCs w:val="20"/>
        </w:rPr>
        <w:t>s that come into conflict with some human activities. FACE:</w:t>
      </w:r>
    </w:p>
    <w:p w:rsidR="00735FB0" w:rsidRPr="00CE3FC9" w:rsidRDefault="00735FB0" w:rsidP="00735FB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CE3FC9">
        <w:rPr>
          <w:sz w:val="20"/>
          <w:szCs w:val="20"/>
        </w:rPr>
        <w:t xml:space="preserve">Calls on Member States to secure the participation of </w:t>
      </w:r>
      <w:r>
        <w:rPr>
          <w:sz w:val="20"/>
          <w:szCs w:val="20"/>
        </w:rPr>
        <w:t xml:space="preserve">those most closely affected by large carnivores such as hunters, farmers, </w:t>
      </w:r>
      <w:r w:rsidRPr="00CE3FC9">
        <w:rPr>
          <w:sz w:val="20"/>
          <w:szCs w:val="20"/>
        </w:rPr>
        <w:t>land owners</w:t>
      </w:r>
      <w:r>
        <w:rPr>
          <w:sz w:val="20"/>
          <w:szCs w:val="20"/>
        </w:rPr>
        <w:t xml:space="preserve"> and</w:t>
      </w:r>
      <w:r w:rsidRPr="00CE3FC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other </w:t>
      </w:r>
      <w:r w:rsidRPr="00CE3FC9">
        <w:rPr>
          <w:sz w:val="20"/>
          <w:szCs w:val="20"/>
        </w:rPr>
        <w:t xml:space="preserve">land managers </w:t>
      </w:r>
      <w:proofErr w:type="gramStart"/>
      <w:r w:rsidRPr="00CE3FC9">
        <w:rPr>
          <w:sz w:val="20"/>
          <w:szCs w:val="20"/>
        </w:rPr>
        <w:t>in order to</w:t>
      </w:r>
      <w:proofErr w:type="gramEnd"/>
      <w:r w:rsidRPr="00CE3FC9">
        <w:rPr>
          <w:sz w:val="20"/>
          <w:szCs w:val="20"/>
        </w:rPr>
        <w:t xml:space="preserve"> guarantee the success of large carnivore conservation and management</w:t>
      </w:r>
      <w:r w:rsidRPr="00CE3FC9">
        <w:rPr>
          <w:rStyle w:val="FootnoteReference"/>
          <w:sz w:val="20"/>
          <w:szCs w:val="20"/>
        </w:rPr>
        <w:footnoteReference w:id="4"/>
      </w:r>
      <w:r w:rsidRPr="00CE3FC9">
        <w:rPr>
          <w:sz w:val="20"/>
          <w:szCs w:val="20"/>
        </w:rPr>
        <w:t xml:space="preserve">. </w:t>
      </w:r>
    </w:p>
    <w:p w:rsidR="00735FB0" w:rsidRPr="00CE3FC9" w:rsidRDefault="00735FB0" w:rsidP="00735FB0">
      <w:pPr>
        <w:spacing w:after="0" w:line="240" w:lineRule="auto"/>
        <w:jc w:val="both"/>
        <w:rPr>
          <w:b/>
          <w:sz w:val="20"/>
          <w:szCs w:val="20"/>
        </w:rPr>
      </w:pPr>
    </w:p>
    <w:p w:rsidR="00735FB0" w:rsidRPr="007D2095" w:rsidRDefault="00735FB0" w:rsidP="00735FB0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Supporting decisions with science, instead of bias</w:t>
      </w:r>
      <w:r w:rsidRPr="007D2095">
        <w:rPr>
          <w:b/>
          <w:sz w:val="20"/>
          <w:szCs w:val="20"/>
        </w:rPr>
        <w:t>:</w:t>
      </w:r>
    </w:p>
    <w:p w:rsidR="00735FB0" w:rsidRPr="00CE3FC9" w:rsidRDefault="00735FB0" w:rsidP="00735FB0">
      <w:pPr>
        <w:spacing w:after="0" w:line="240" w:lineRule="auto"/>
        <w:jc w:val="both"/>
        <w:rPr>
          <w:sz w:val="20"/>
          <w:szCs w:val="20"/>
        </w:rPr>
      </w:pPr>
      <w:r w:rsidRPr="00CE3FC9">
        <w:rPr>
          <w:sz w:val="20"/>
          <w:szCs w:val="20"/>
        </w:rPr>
        <w:t xml:space="preserve">Against the existing evidence base, some NGOs continue to pursue lobbying campaigns to prevent or </w:t>
      </w:r>
      <w:r>
        <w:rPr>
          <w:sz w:val="20"/>
          <w:szCs w:val="20"/>
        </w:rPr>
        <w:t xml:space="preserve">seriously </w:t>
      </w:r>
      <w:r w:rsidRPr="00CE3FC9">
        <w:rPr>
          <w:sz w:val="20"/>
          <w:szCs w:val="20"/>
        </w:rPr>
        <w:t>restrict hunting as a management tool</w:t>
      </w:r>
      <w:r>
        <w:rPr>
          <w:sz w:val="20"/>
          <w:szCs w:val="20"/>
        </w:rPr>
        <w:t xml:space="preserve"> for large carnivores</w:t>
      </w:r>
      <w:r w:rsidRPr="00CE3FC9">
        <w:rPr>
          <w:sz w:val="20"/>
          <w:szCs w:val="20"/>
        </w:rPr>
        <w:t>. FACE is deeply concerned that these ‘protection-based’ approaches can negat</w:t>
      </w:r>
      <w:r>
        <w:rPr>
          <w:sz w:val="20"/>
          <w:szCs w:val="20"/>
        </w:rPr>
        <w:t>ively impact the conservation of</w:t>
      </w:r>
      <w:r w:rsidRPr="00CE3FC9">
        <w:rPr>
          <w:sz w:val="20"/>
          <w:szCs w:val="20"/>
        </w:rPr>
        <w:t xml:space="preserve"> large carnivores. When strict protection includes complete hunting bans, there is evidence demonstrating that illegal killing </w:t>
      </w:r>
      <w:r>
        <w:rPr>
          <w:sz w:val="20"/>
          <w:szCs w:val="20"/>
        </w:rPr>
        <w:t xml:space="preserve">(even through poisoning) </w:t>
      </w:r>
      <w:r w:rsidRPr="00CE3FC9">
        <w:rPr>
          <w:sz w:val="20"/>
          <w:szCs w:val="20"/>
        </w:rPr>
        <w:t>gains increased social acceptance</w:t>
      </w:r>
      <w:r w:rsidR="00AD1117">
        <w:rPr>
          <w:sz w:val="20"/>
          <w:szCs w:val="20"/>
        </w:rPr>
        <w:t xml:space="preserve">, </w:t>
      </w:r>
      <w:proofErr w:type="gramStart"/>
      <w:r w:rsidR="00AD1117">
        <w:rPr>
          <w:sz w:val="20"/>
          <w:szCs w:val="20"/>
        </w:rPr>
        <w:t>in particular</w:t>
      </w:r>
      <w:r w:rsidRPr="00CE3FC9">
        <w:rPr>
          <w:sz w:val="20"/>
          <w:szCs w:val="20"/>
        </w:rPr>
        <w:t xml:space="preserve"> for</w:t>
      </w:r>
      <w:proofErr w:type="gramEnd"/>
      <w:r w:rsidRPr="00CE3FC9">
        <w:rPr>
          <w:sz w:val="20"/>
          <w:szCs w:val="20"/>
        </w:rPr>
        <w:t xml:space="preserve"> Wolf and for Brown Bear</w:t>
      </w:r>
      <w:r w:rsidRPr="00CE3FC9">
        <w:rPr>
          <w:rStyle w:val="FootnoteReference"/>
          <w:sz w:val="20"/>
          <w:szCs w:val="20"/>
        </w:rPr>
        <w:footnoteReference w:id="5"/>
      </w:r>
      <w:r w:rsidRPr="00CE3FC9">
        <w:rPr>
          <w:sz w:val="20"/>
          <w:szCs w:val="20"/>
        </w:rPr>
        <w:t>. In this context, FACE:</w:t>
      </w:r>
    </w:p>
    <w:p w:rsidR="00735FB0" w:rsidRPr="00593307" w:rsidRDefault="00735FB0" w:rsidP="00735FB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CE3FC9">
        <w:rPr>
          <w:sz w:val="20"/>
          <w:szCs w:val="20"/>
        </w:rPr>
        <w:t xml:space="preserve">Calls on </w:t>
      </w:r>
      <w:r w:rsidRPr="00593307">
        <w:rPr>
          <w:sz w:val="20"/>
          <w:szCs w:val="20"/>
        </w:rPr>
        <w:t xml:space="preserve">Member States to make decisions based on the best available knowledge in the natural </w:t>
      </w:r>
      <w:r w:rsidRPr="00593307">
        <w:rPr>
          <w:sz w:val="20"/>
          <w:szCs w:val="20"/>
          <w:u w:val="single"/>
        </w:rPr>
        <w:t>and social</w:t>
      </w:r>
      <w:r w:rsidRPr="00593307">
        <w:rPr>
          <w:sz w:val="20"/>
          <w:szCs w:val="20"/>
        </w:rPr>
        <w:t xml:space="preserve"> sciences when designing and implementing large carnivore management plans; </w:t>
      </w:r>
    </w:p>
    <w:p w:rsidR="00515124" w:rsidRPr="00735FB0" w:rsidRDefault="00735FB0" w:rsidP="00735FB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593307">
        <w:rPr>
          <w:sz w:val="20"/>
          <w:szCs w:val="20"/>
        </w:rPr>
        <w:t>Calls on the Romanian Gover</w:t>
      </w:r>
      <w:bookmarkStart w:id="0" w:name="_GoBack"/>
      <w:bookmarkEnd w:id="0"/>
      <w:r w:rsidRPr="00593307">
        <w:rPr>
          <w:sz w:val="20"/>
          <w:szCs w:val="20"/>
        </w:rPr>
        <w:t xml:space="preserve">nment </w:t>
      </w:r>
      <w:r w:rsidRPr="00CE3FC9">
        <w:rPr>
          <w:sz w:val="20"/>
          <w:szCs w:val="20"/>
        </w:rPr>
        <w:t>to support the statement</w:t>
      </w:r>
      <w:r>
        <w:rPr>
          <w:rStyle w:val="FootnoteReference"/>
          <w:sz w:val="20"/>
          <w:szCs w:val="20"/>
        </w:rPr>
        <w:footnoteReference w:id="6"/>
      </w:r>
      <w:r w:rsidRPr="00CE3FC9">
        <w:rPr>
          <w:sz w:val="20"/>
          <w:szCs w:val="20"/>
        </w:rPr>
        <w:t xml:space="preserve"> of the EU Large Carnivore Platform, noting </w:t>
      </w:r>
      <w:proofErr w:type="gramStart"/>
      <w:r w:rsidRPr="00CE3FC9">
        <w:rPr>
          <w:sz w:val="20"/>
          <w:szCs w:val="20"/>
        </w:rPr>
        <w:t>in particular that</w:t>
      </w:r>
      <w:proofErr w:type="gramEnd"/>
      <w:r>
        <w:rPr>
          <w:sz w:val="20"/>
          <w:szCs w:val="20"/>
        </w:rPr>
        <w:t>:</w:t>
      </w:r>
      <w:r w:rsidRPr="00CE3FC9">
        <w:rPr>
          <w:sz w:val="20"/>
          <w:szCs w:val="20"/>
        </w:rPr>
        <w:t xml:space="preserve"> “</w:t>
      </w:r>
      <w:r w:rsidRPr="00CE3FC9">
        <w:rPr>
          <w:i/>
          <w:sz w:val="20"/>
          <w:szCs w:val="20"/>
        </w:rPr>
        <w:t>The current hunting ban is not solving this problem</w:t>
      </w:r>
      <w:r w:rsidRPr="00CE3FC9">
        <w:rPr>
          <w:sz w:val="20"/>
          <w:szCs w:val="20"/>
        </w:rPr>
        <w:t>”</w:t>
      </w:r>
      <w:r>
        <w:rPr>
          <w:sz w:val="20"/>
          <w:szCs w:val="20"/>
        </w:rPr>
        <w:t xml:space="preserve">, but instead, it is making it worse. This issue is also applicable to other Member States. </w:t>
      </w:r>
    </w:p>
    <w:sectPr w:rsidR="00515124" w:rsidRPr="00735FB0" w:rsidSect="00CE3FC9"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66A" w:rsidRDefault="002F266A" w:rsidP="00735FB0">
      <w:pPr>
        <w:spacing w:after="0" w:line="240" w:lineRule="auto"/>
      </w:pPr>
      <w:r>
        <w:separator/>
      </w:r>
    </w:p>
  </w:endnote>
  <w:endnote w:type="continuationSeparator" w:id="0">
    <w:p w:rsidR="002F266A" w:rsidRDefault="002F266A" w:rsidP="00735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66A" w:rsidRDefault="002F266A" w:rsidP="00735FB0">
      <w:pPr>
        <w:spacing w:after="0" w:line="240" w:lineRule="auto"/>
      </w:pPr>
      <w:r>
        <w:separator/>
      </w:r>
    </w:p>
  </w:footnote>
  <w:footnote w:type="continuationSeparator" w:id="0">
    <w:p w:rsidR="002F266A" w:rsidRDefault="002F266A" w:rsidP="00735FB0">
      <w:pPr>
        <w:spacing w:after="0" w:line="240" w:lineRule="auto"/>
      </w:pPr>
      <w:r>
        <w:continuationSeparator/>
      </w:r>
    </w:p>
  </w:footnote>
  <w:footnote w:id="1">
    <w:p w:rsidR="00735FB0" w:rsidRPr="00547211" w:rsidRDefault="00735FB0" w:rsidP="00735FB0">
      <w:pPr>
        <w:pStyle w:val="FootnoteText"/>
        <w:rPr>
          <w:sz w:val="18"/>
          <w:szCs w:val="18"/>
          <w:lang w:val="en-GB"/>
        </w:rPr>
      </w:pPr>
      <w:r w:rsidRPr="00413D5B">
        <w:rPr>
          <w:rStyle w:val="FootnoteReference"/>
          <w:sz w:val="18"/>
          <w:szCs w:val="18"/>
        </w:rPr>
        <w:footnoteRef/>
      </w:r>
      <w:r w:rsidRPr="00413D5B">
        <w:rPr>
          <w:sz w:val="18"/>
          <w:szCs w:val="18"/>
        </w:rPr>
        <w:t xml:space="preserve"> </w:t>
      </w:r>
      <w:r w:rsidRPr="00547211">
        <w:rPr>
          <w:sz w:val="18"/>
          <w:szCs w:val="18"/>
          <w:lang w:val="en-GB"/>
        </w:rPr>
        <w:t xml:space="preserve">See also (point 6) of the Council conclusions on EU Action Plan for nature, people and the economy: </w:t>
      </w:r>
      <w:hyperlink r:id="rId1" w:history="1">
        <w:r w:rsidRPr="00547211">
          <w:rPr>
            <w:rStyle w:val="Hyperlink"/>
            <w:sz w:val="18"/>
            <w:szCs w:val="18"/>
            <w:lang w:val="en-GB"/>
          </w:rPr>
          <w:t>http://www.consilium.europa.eu/en/press/press-releases/2017/06/19-conclusions-eu-action-plan-nature/</w:t>
        </w:r>
      </w:hyperlink>
      <w:r w:rsidRPr="00547211">
        <w:rPr>
          <w:sz w:val="18"/>
          <w:szCs w:val="18"/>
          <w:lang w:val="en-GB"/>
        </w:rPr>
        <w:t xml:space="preserve"> </w:t>
      </w:r>
    </w:p>
  </w:footnote>
  <w:footnote w:id="2">
    <w:p w:rsidR="00735FB0" w:rsidRPr="00547211" w:rsidRDefault="00735FB0" w:rsidP="00735FB0">
      <w:pPr>
        <w:pStyle w:val="FootnoteText"/>
        <w:rPr>
          <w:sz w:val="18"/>
          <w:szCs w:val="18"/>
          <w:lang w:val="en-GB"/>
        </w:rPr>
      </w:pPr>
      <w:r w:rsidRPr="00547211">
        <w:rPr>
          <w:rStyle w:val="FootnoteReference"/>
          <w:sz w:val="18"/>
          <w:szCs w:val="18"/>
        </w:rPr>
        <w:footnoteRef/>
      </w:r>
      <w:r w:rsidRPr="00547211">
        <w:rPr>
          <w:sz w:val="18"/>
          <w:szCs w:val="18"/>
        </w:rPr>
        <w:t xml:space="preserve"> To address the practical challenges resulting from the application of the annexes to the Directives, it is the opinion of FACE that certain large carnivore </w:t>
      </w:r>
      <w:r>
        <w:rPr>
          <w:sz w:val="18"/>
          <w:szCs w:val="18"/>
        </w:rPr>
        <w:t>populations</w:t>
      </w:r>
      <w:r w:rsidRPr="00547211">
        <w:rPr>
          <w:sz w:val="18"/>
          <w:szCs w:val="18"/>
        </w:rPr>
        <w:t xml:space="preserve"> </w:t>
      </w:r>
      <w:r w:rsidRPr="00547211">
        <w:rPr>
          <w:sz w:val="18"/>
          <w:szCs w:val="18"/>
        </w:rPr>
        <w:t xml:space="preserve">should be moved from Annex IV to V </w:t>
      </w:r>
      <w:r>
        <w:rPr>
          <w:sz w:val="18"/>
          <w:szCs w:val="18"/>
        </w:rPr>
        <w:t>as/when</w:t>
      </w:r>
      <w:r w:rsidRPr="00547211">
        <w:rPr>
          <w:sz w:val="18"/>
          <w:szCs w:val="18"/>
        </w:rPr>
        <w:t xml:space="preserve"> </w:t>
      </w:r>
      <w:r>
        <w:rPr>
          <w:sz w:val="18"/>
          <w:szCs w:val="18"/>
        </w:rPr>
        <w:t>‘</w:t>
      </w:r>
      <w:r w:rsidRPr="00547211">
        <w:rPr>
          <w:sz w:val="18"/>
          <w:szCs w:val="18"/>
        </w:rPr>
        <w:t>Favourable Conservation Status</w:t>
      </w:r>
      <w:r>
        <w:rPr>
          <w:sz w:val="18"/>
          <w:szCs w:val="18"/>
        </w:rPr>
        <w:t>’</w:t>
      </w:r>
      <w:r w:rsidRPr="00547211">
        <w:rPr>
          <w:sz w:val="18"/>
          <w:szCs w:val="18"/>
        </w:rPr>
        <w:t xml:space="preserve"> is attained.</w:t>
      </w:r>
    </w:p>
  </w:footnote>
  <w:footnote w:id="3">
    <w:p w:rsidR="00735FB0" w:rsidRPr="00547211" w:rsidRDefault="00735FB0" w:rsidP="00735FB0">
      <w:pPr>
        <w:pStyle w:val="FootnoteText"/>
        <w:rPr>
          <w:sz w:val="18"/>
          <w:szCs w:val="18"/>
          <w:lang w:val="en-GB"/>
        </w:rPr>
      </w:pPr>
      <w:r w:rsidRPr="00547211">
        <w:rPr>
          <w:rStyle w:val="FootnoteReference"/>
          <w:sz w:val="18"/>
          <w:szCs w:val="18"/>
        </w:rPr>
        <w:footnoteRef/>
      </w:r>
      <w:r w:rsidRPr="00547211">
        <w:rPr>
          <w:sz w:val="18"/>
          <w:szCs w:val="18"/>
        </w:rPr>
        <w:t xml:space="preserve"> </w:t>
      </w:r>
      <w:r>
        <w:rPr>
          <w:sz w:val="18"/>
          <w:szCs w:val="18"/>
        </w:rPr>
        <w:t>See b</w:t>
      </w:r>
      <w:r w:rsidRPr="00547211">
        <w:rPr>
          <w:sz w:val="18"/>
          <w:szCs w:val="18"/>
        </w:rPr>
        <w:t xml:space="preserve">rochure: </w:t>
      </w:r>
      <w:hyperlink r:id="rId2" w:history="1">
        <w:r w:rsidRPr="00547211">
          <w:rPr>
            <w:rStyle w:val="Hyperlink"/>
            <w:sz w:val="18"/>
            <w:szCs w:val="18"/>
          </w:rPr>
          <w:t>http://ec.europa.eu/environment/nature/conservation/species/carnivores/pdf/no_borders_brochure.pdf</w:t>
        </w:r>
      </w:hyperlink>
      <w:r w:rsidRPr="00547211">
        <w:rPr>
          <w:sz w:val="18"/>
          <w:szCs w:val="18"/>
        </w:rPr>
        <w:t xml:space="preserve"> </w:t>
      </w:r>
    </w:p>
  </w:footnote>
  <w:footnote w:id="4">
    <w:p w:rsidR="00735FB0" w:rsidRPr="00094AD9" w:rsidRDefault="00735FB0" w:rsidP="00735FB0">
      <w:pPr>
        <w:pStyle w:val="FootnoteText"/>
        <w:rPr>
          <w:sz w:val="18"/>
          <w:szCs w:val="18"/>
          <w:lang w:val="en-GB"/>
        </w:rPr>
      </w:pPr>
      <w:r w:rsidRPr="00094AD9">
        <w:rPr>
          <w:rStyle w:val="FootnoteReference"/>
          <w:sz w:val="18"/>
          <w:szCs w:val="18"/>
        </w:rPr>
        <w:footnoteRef/>
      </w:r>
      <w:r w:rsidRPr="00094AD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See </w:t>
      </w:r>
      <w:r w:rsidRPr="00094AD9">
        <w:rPr>
          <w:sz w:val="18"/>
          <w:szCs w:val="18"/>
          <w:lang w:val="en-GB"/>
        </w:rPr>
        <w:t>Rural Development</w:t>
      </w:r>
      <w:r>
        <w:rPr>
          <w:sz w:val="18"/>
          <w:szCs w:val="18"/>
          <w:lang w:val="en-GB"/>
        </w:rPr>
        <w:t xml:space="preserve"> funding</w:t>
      </w:r>
      <w:r w:rsidRPr="00094AD9">
        <w:rPr>
          <w:sz w:val="18"/>
          <w:szCs w:val="18"/>
          <w:lang w:val="en-GB"/>
        </w:rPr>
        <w:t xml:space="preserve">: </w:t>
      </w:r>
      <w:hyperlink r:id="rId3" w:history="1">
        <w:r w:rsidRPr="00094AD9">
          <w:rPr>
            <w:rStyle w:val="Hyperlink"/>
            <w:sz w:val="18"/>
            <w:szCs w:val="18"/>
            <w:lang w:val="en-GB"/>
          </w:rPr>
          <w:t>http://ec.europa.eu/environment/nature/conservation/species/carnivores/pdf/85_RD_leaflet_E.1.pdf</w:t>
        </w:r>
      </w:hyperlink>
      <w:r w:rsidRPr="00094AD9">
        <w:rPr>
          <w:sz w:val="18"/>
          <w:szCs w:val="18"/>
          <w:lang w:val="en-GB"/>
        </w:rPr>
        <w:t xml:space="preserve"> </w:t>
      </w:r>
    </w:p>
  </w:footnote>
  <w:footnote w:id="5">
    <w:p w:rsidR="00735FB0" w:rsidRPr="005D0F33" w:rsidRDefault="00735FB0" w:rsidP="00735FB0">
      <w:pPr>
        <w:pStyle w:val="FootnoteText"/>
        <w:rPr>
          <w:sz w:val="18"/>
          <w:szCs w:val="18"/>
          <w:lang w:val="en-GB"/>
        </w:rPr>
      </w:pPr>
      <w:r w:rsidRPr="005D0F33">
        <w:rPr>
          <w:rStyle w:val="FootnoteReference"/>
          <w:sz w:val="18"/>
          <w:szCs w:val="18"/>
        </w:rPr>
        <w:footnoteRef/>
      </w:r>
      <w:r w:rsidRPr="005D0F33">
        <w:rPr>
          <w:sz w:val="18"/>
          <w:szCs w:val="18"/>
        </w:rPr>
        <w:t xml:space="preserve"> Research shows that illegal killing</w:t>
      </w:r>
      <w:r>
        <w:rPr>
          <w:sz w:val="18"/>
          <w:szCs w:val="18"/>
        </w:rPr>
        <w:t xml:space="preserve"> has enjoyed social acceptance </w:t>
      </w:r>
      <w:r w:rsidRPr="005D0F33">
        <w:rPr>
          <w:sz w:val="18"/>
          <w:szCs w:val="18"/>
        </w:rPr>
        <w:t>in Scandinavia</w:t>
      </w:r>
      <w:r>
        <w:rPr>
          <w:sz w:val="18"/>
          <w:szCs w:val="18"/>
        </w:rPr>
        <w:t>n countries</w:t>
      </w:r>
      <w:r w:rsidRPr="005D0F33">
        <w:rPr>
          <w:sz w:val="18"/>
          <w:szCs w:val="18"/>
        </w:rPr>
        <w:t xml:space="preserve"> for Wolf and in Austria (leading to total eradication) for Brown Bear.</w:t>
      </w:r>
      <w:r>
        <w:rPr>
          <w:sz w:val="18"/>
          <w:szCs w:val="18"/>
        </w:rPr>
        <w:t xml:space="preserve"> </w:t>
      </w:r>
    </w:p>
  </w:footnote>
  <w:footnote w:id="6">
    <w:p w:rsidR="00735FB0" w:rsidRPr="00CE3FC9" w:rsidRDefault="00735FB0" w:rsidP="00735FB0">
      <w:pPr>
        <w:pStyle w:val="FootnoteText"/>
        <w:rPr>
          <w:sz w:val="18"/>
          <w:szCs w:val="18"/>
          <w:lang w:val="en-GB"/>
        </w:rPr>
      </w:pPr>
      <w:r w:rsidRPr="00CE3FC9">
        <w:rPr>
          <w:rStyle w:val="FootnoteReference"/>
          <w:sz w:val="18"/>
          <w:szCs w:val="18"/>
        </w:rPr>
        <w:footnoteRef/>
      </w:r>
      <w:r w:rsidRPr="00CE3FC9">
        <w:rPr>
          <w:sz w:val="18"/>
          <w:szCs w:val="18"/>
        </w:rPr>
        <w:t xml:space="preserve"> See: </w:t>
      </w:r>
      <w:hyperlink r:id="rId4" w:history="1">
        <w:r w:rsidRPr="00CE3FC9">
          <w:rPr>
            <w:rStyle w:val="Hyperlink"/>
            <w:sz w:val="18"/>
            <w:szCs w:val="18"/>
          </w:rPr>
          <w:t>http://ec.europa.eu/environment/nature/conservation/species/carnivores/pdf/45_Workshop%20statement_FINAL-en.pdf</w:t>
        </w:r>
      </w:hyperlink>
      <w:r w:rsidRPr="00CE3FC9">
        <w:rPr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F278CA"/>
    <w:multiLevelType w:val="hybridMultilevel"/>
    <w:tmpl w:val="0C28D0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FB0"/>
    <w:rsid w:val="00237F11"/>
    <w:rsid w:val="002F266A"/>
    <w:rsid w:val="00515124"/>
    <w:rsid w:val="00735FB0"/>
    <w:rsid w:val="00AD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D34A9"/>
  <w15:chartTrackingRefBased/>
  <w15:docId w15:val="{8826C7BA-3EA4-47C1-8C74-EACE25824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5F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FB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35F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5F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5FB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35F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nvironment/nature/conservation/species/carnivores/pdf/85_RD_leaflet_E.1.pdf" TargetMode="External"/><Relationship Id="rId2" Type="http://schemas.openxmlformats.org/officeDocument/2006/relationships/hyperlink" Target="http://ec.europa.eu/environment/nature/conservation/species/carnivores/pdf/no_borders_brochure.pdf" TargetMode="External"/><Relationship Id="rId1" Type="http://schemas.openxmlformats.org/officeDocument/2006/relationships/hyperlink" Target="http://www.consilium.europa.eu/en/press/press-releases/2017/06/19-conclusions-eu-action-plan-nature/" TargetMode="External"/><Relationship Id="rId4" Type="http://schemas.openxmlformats.org/officeDocument/2006/relationships/hyperlink" Target="http://ec.europa.eu/environment/nature/conservation/species/carnivores/pdf/45_Workshop%20statement_FINAL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Scallan</dc:creator>
  <cp:keywords/>
  <dc:description/>
  <cp:lastModifiedBy>David Scallan</cp:lastModifiedBy>
  <cp:revision>2</cp:revision>
  <dcterms:created xsi:type="dcterms:W3CDTF">2017-10-17T10:35:00Z</dcterms:created>
  <dcterms:modified xsi:type="dcterms:W3CDTF">2017-10-17T10:37:00Z</dcterms:modified>
</cp:coreProperties>
</file>